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BD18" w14:textId="77777777" w:rsidR="00021531" w:rsidRDefault="00021531" w:rsidP="00021531">
      <w:pPr>
        <w:jc w:val="center"/>
        <w:rPr>
          <w:rFonts w:ascii="Arial Black" w:hAnsi="Arial Black"/>
          <w:b/>
          <w:bCs/>
          <w:sz w:val="56"/>
          <w:szCs w:val="56"/>
          <w:u w:val="single"/>
        </w:rPr>
      </w:pPr>
      <w:r w:rsidRPr="00021531">
        <w:rPr>
          <w:rFonts w:ascii="Arial Black" w:hAnsi="Arial Black"/>
          <w:b/>
          <w:bCs/>
          <w:sz w:val="56"/>
          <w:szCs w:val="56"/>
          <w:u w:val="single"/>
        </w:rPr>
        <w:t xml:space="preserve">PROVOZNÍ DOBA KONTEJNERU PRO ELEKTROZAŘÍZENÍ </w:t>
      </w:r>
    </w:p>
    <w:p w14:paraId="26413625" w14:textId="3BE50EB3" w:rsidR="00F164CB" w:rsidRPr="00021531" w:rsidRDefault="00021531" w:rsidP="00021531">
      <w:pPr>
        <w:jc w:val="center"/>
        <w:rPr>
          <w:rFonts w:ascii="Arial Black" w:hAnsi="Arial Black"/>
          <w:b/>
          <w:bCs/>
          <w:sz w:val="56"/>
          <w:szCs w:val="56"/>
          <w:u w:val="single"/>
        </w:rPr>
      </w:pPr>
      <w:r w:rsidRPr="00021531">
        <w:rPr>
          <w:rFonts w:ascii="Arial Black" w:hAnsi="Arial Black"/>
          <w:b/>
          <w:bCs/>
          <w:sz w:val="56"/>
          <w:szCs w:val="56"/>
          <w:u w:val="single"/>
        </w:rPr>
        <w:t>ROK 2025</w:t>
      </w:r>
    </w:p>
    <w:p w14:paraId="55192C13" w14:textId="77777777" w:rsidR="00021531" w:rsidRPr="00021531" w:rsidRDefault="00021531">
      <w:pPr>
        <w:rPr>
          <w:rFonts w:ascii="Arial Black" w:hAnsi="Arial Black"/>
          <w:b/>
          <w:bCs/>
          <w:sz w:val="56"/>
          <w:szCs w:val="56"/>
        </w:rPr>
      </w:pPr>
    </w:p>
    <w:p w14:paraId="7E91204E" w14:textId="14583D61" w:rsidR="00021531" w:rsidRPr="00021531" w:rsidRDefault="00021531" w:rsidP="00021531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021531">
        <w:rPr>
          <w:rFonts w:ascii="Arial Black" w:hAnsi="Arial Black"/>
          <w:b/>
          <w:bCs/>
          <w:sz w:val="48"/>
          <w:szCs w:val="48"/>
        </w:rPr>
        <w:t>Středy níže uvedených dnů v čase 15:30 – 17:00 hodin</w:t>
      </w:r>
    </w:p>
    <w:p w14:paraId="7E7B5396" w14:textId="77777777" w:rsidR="00021531" w:rsidRPr="00021531" w:rsidRDefault="00021531" w:rsidP="00021531">
      <w:pPr>
        <w:jc w:val="center"/>
        <w:rPr>
          <w:rFonts w:ascii="Arial Black" w:hAnsi="Arial Black"/>
          <w:b/>
          <w:bCs/>
          <w:sz w:val="48"/>
          <w:szCs w:val="48"/>
        </w:rPr>
      </w:pPr>
    </w:p>
    <w:p w14:paraId="22681695" w14:textId="1555250E" w:rsidR="00021531" w:rsidRPr="00021531" w:rsidRDefault="00021531" w:rsidP="00021531">
      <w:pPr>
        <w:jc w:val="center"/>
        <w:rPr>
          <w:rFonts w:ascii="Arial Black" w:hAnsi="Arial Black"/>
          <w:b/>
          <w:bCs/>
          <w:color w:val="FF0000"/>
          <w:sz w:val="48"/>
          <w:szCs w:val="48"/>
        </w:rPr>
      </w:pPr>
      <w:r w:rsidRPr="00021531">
        <w:rPr>
          <w:rFonts w:ascii="Arial Black" w:hAnsi="Arial Black"/>
          <w:b/>
          <w:bCs/>
          <w:color w:val="FF0000"/>
          <w:sz w:val="48"/>
          <w:szCs w:val="48"/>
        </w:rPr>
        <w:t>26. ÚNOR</w:t>
      </w:r>
    </w:p>
    <w:p w14:paraId="3072463D" w14:textId="7E495A31" w:rsidR="00021531" w:rsidRPr="00021531" w:rsidRDefault="00021531" w:rsidP="00021531">
      <w:pPr>
        <w:jc w:val="center"/>
        <w:rPr>
          <w:rFonts w:ascii="Arial Black" w:hAnsi="Arial Black"/>
          <w:b/>
          <w:bCs/>
          <w:color w:val="FF0000"/>
          <w:sz w:val="48"/>
          <w:szCs w:val="48"/>
        </w:rPr>
      </w:pPr>
      <w:r w:rsidRPr="00021531">
        <w:rPr>
          <w:rFonts w:ascii="Arial Black" w:hAnsi="Arial Black"/>
          <w:b/>
          <w:bCs/>
          <w:color w:val="FF0000"/>
          <w:sz w:val="48"/>
          <w:szCs w:val="48"/>
        </w:rPr>
        <w:t>28. KVĚTEN</w:t>
      </w:r>
    </w:p>
    <w:p w14:paraId="684BDF8F" w14:textId="16BA5F9D" w:rsidR="00021531" w:rsidRPr="00021531" w:rsidRDefault="00021531" w:rsidP="00021531">
      <w:pPr>
        <w:jc w:val="center"/>
        <w:rPr>
          <w:rFonts w:ascii="Arial Black" w:hAnsi="Arial Black"/>
          <w:b/>
          <w:bCs/>
          <w:color w:val="FF0000"/>
          <w:sz w:val="48"/>
          <w:szCs w:val="48"/>
        </w:rPr>
      </w:pPr>
      <w:r w:rsidRPr="00021531">
        <w:rPr>
          <w:rFonts w:ascii="Arial Black" w:hAnsi="Arial Black"/>
          <w:b/>
          <w:bCs/>
          <w:color w:val="FF0000"/>
          <w:sz w:val="48"/>
          <w:szCs w:val="48"/>
        </w:rPr>
        <w:t>27. SRPEN</w:t>
      </w:r>
    </w:p>
    <w:p w14:paraId="79634365" w14:textId="06F2D784" w:rsidR="00021531" w:rsidRPr="00021531" w:rsidRDefault="00021531" w:rsidP="00021531">
      <w:pPr>
        <w:jc w:val="center"/>
        <w:rPr>
          <w:rFonts w:ascii="Arial Black" w:hAnsi="Arial Black"/>
          <w:b/>
          <w:bCs/>
          <w:color w:val="FF0000"/>
          <w:sz w:val="48"/>
          <w:szCs w:val="48"/>
        </w:rPr>
      </w:pPr>
      <w:r w:rsidRPr="00021531">
        <w:rPr>
          <w:rFonts w:ascii="Arial Black" w:hAnsi="Arial Black"/>
          <w:b/>
          <w:bCs/>
          <w:color w:val="FF0000"/>
          <w:sz w:val="48"/>
          <w:szCs w:val="48"/>
        </w:rPr>
        <w:t>26. LISTOPAD</w:t>
      </w:r>
    </w:p>
    <w:p w14:paraId="6D8397C9" w14:textId="77777777" w:rsidR="00021531" w:rsidRPr="00021531" w:rsidRDefault="00021531" w:rsidP="00021531">
      <w:pPr>
        <w:spacing w:after="0" w:line="240" w:lineRule="auto"/>
        <w:rPr>
          <w:rFonts w:ascii="Arial Black" w:hAnsi="Arial Black"/>
          <w:b/>
          <w:bCs/>
          <w:sz w:val="56"/>
          <w:szCs w:val="56"/>
        </w:rPr>
      </w:pPr>
    </w:p>
    <w:p w14:paraId="2CA4A8C4" w14:textId="50321640" w:rsidR="00021531" w:rsidRPr="00021531" w:rsidRDefault="00021531" w:rsidP="00021531">
      <w:pPr>
        <w:spacing w:after="0" w:line="240" w:lineRule="auto"/>
        <w:jc w:val="both"/>
        <w:rPr>
          <w:rFonts w:ascii="Arial Black" w:hAnsi="Arial Black"/>
          <w:b/>
          <w:bCs/>
          <w:sz w:val="36"/>
          <w:szCs w:val="36"/>
        </w:rPr>
      </w:pPr>
      <w:r w:rsidRPr="00021531">
        <w:rPr>
          <w:rFonts w:ascii="Arial Black" w:hAnsi="Arial Black"/>
          <w:b/>
          <w:bCs/>
          <w:sz w:val="36"/>
          <w:szCs w:val="36"/>
        </w:rPr>
        <w:t>Týká se vyřazených elektrospotřebičů o velikosti nad 50 cm, které nebyly odevzdány v rámci zpětného odběr</w:t>
      </w:r>
      <w:r w:rsidR="00CD262D">
        <w:rPr>
          <w:rFonts w:ascii="Arial Black" w:hAnsi="Arial Black"/>
          <w:b/>
          <w:bCs/>
          <w:sz w:val="36"/>
          <w:szCs w:val="36"/>
        </w:rPr>
        <w:t>u</w:t>
      </w:r>
      <w:r w:rsidRPr="00021531">
        <w:rPr>
          <w:rFonts w:ascii="Arial Black" w:hAnsi="Arial Black"/>
          <w:b/>
          <w:bCs/>
          <w:sz w:val="36"/>
          <w:szCs w:val="36"/>
        </w:rPr>
        <w:t xml:space="preserve"> (např. pračky, chladničky, mrazničky, varné desky, el. trouby, e</w:t>
      </w:r>
      <w:r w:rsidR="00CD262D">
        <w:rPr>
          <w:rFonts w:ascii="Arial Black" w:hAnsi="Arial Black"/>
          <w:b/>
          <w:bCs/>
          <w:sz w:val="36"/>
          <w:szCs w:val="36"/>
        </w:rPr>
        <w:t>l</w:t>
      </w:r>
      <w:r w:rsidRPr="00021531">
        <w:rPr>
          <w:rFonts w:ascii="Arial Black" w:hAnsi="Arial Black"/>
          <w:b/>
          <w:bCs/>
          <w:sz w:val="36"/>
          <w:szCs w:val="36"/>
        </w:rPr>
        <w:t>. radiátory, zařízení pro tepelnou výměnu aj.)</w:t>
      </w:r>
    </w:p>
    <w:sectPr w:rsidR="00021531" w:rsidRPr="0002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26"/>
    <w:rsid w:val="00021531"/>
    <w:rsid w:val="00AD0B7A"/>
    <w:rsid w:val="00BB2CE5"/>
    <w:rsid w:val="00BC6048"/>
    <w:rsid w:val="00C62026"/>
    <w:rsid w:val="00CD262D"/>
    <w:rsid w:val="00D757FB"/>
    <w:rsid w:val="00E21144"/>
    <w:rsid w:val="00F1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F15B"/>
  <w15:chartTrackingRefBased/>
  <w15:docId w15:val="{136D6B3D-C232-4871-A1D4-A53A4B1C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cs-CZ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B7A"/>
  </w:style>
  <w:style w:type="paragraph" w:styleId="Nadpis1">
    <w:name w:val="heading 1"/>
    <w:basedOn w:val="Normln"/>
    <w:next w:val="Normln"/>
    <w:link w:val="Nadpis1Char"/>
    <w:uiPriority w:val="9"/>
    <w:qFormat/>
    <w:rsid w:val="00AD0B7A"/>
    <w:pPr>
      <w:keepNext/>
      <w:keepLines/>
      <w:pBdr>
        <w:bottom w:val="single" w:sz="4" w:space="1" w:color="FFCA0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B7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0B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B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B7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B7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B7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B7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B7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B7A"/>
    <w:rPr>
      <w:rFonts w:asciiTheme="majorHAnsi" w:eastAsiaTheme="majorEastAsia" w:hAnsiTheme="majorHAnsi" w:cstheme="majorBidi"/>
      <w:color w:val="C49A0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B7A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D0B7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B7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B7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B7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B7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B7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B7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D0B7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D0B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C49A0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AD0B7A"/>
    <w:rPr>
      <w:rFonts w:asciiTheme="majorHAnsi" w:eastAsiaTheme="majorEastAsia" w:hAnsiTheme="majorHAnsi" w:cstheme="majorBidi"/>
      <w:color w:val="C49A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B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AD0B7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AD0B7A"/>
    <w:rPr>
      <w:b/>
      <w:bCs/>
    </w:rPr>
  </w:style>
  <w:style w:type="character" w:styleId="Zdraznn">
    <w:name w:val="Emphasis"/>
    <w:basedOn w:val="Standardnpsmoodstavce"/>
    <w:uiPriority w:val="20"/>
    <w:qFormat/>
    <w:rsid w:val="00AD0B7A"/>
    <w:rPr>
      <w:i/>
      <w:iCs/>
    </w:rPr>
  </w:style>
  <w:style w:type="paragraph" w:styleId="Bezmezer">
    <w:name w:val="No Spacing"/>
    <w:uiPriority w:val="1"/>
    <w:qFormat/>
    <w:rsid w:val="00AD0B7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0B7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D0B7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D0B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B7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B7A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D0B7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D0B7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D0B7A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AD0B7A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AD0B7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D0B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ouřové s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5F09-8EF0-4947-B6F2-5850E760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Prštice</dc:creator>
  <cp:keywords/>
  <dc:description/>
  <cp:lastModifiedBy>Obec Prštice</cp:lastModifiedBy>
  <cp:revision>5</cp:revision>
  <cp:lastPrinted>2024-11-01T11:20:00Z</cp:lastPrinted>
  <dcterms:created xsi:type="dcterms:W3CDTF">2024-11-01T11:13:00Z</dcterms:created>
  <dcterms:modified xsi:type="dcterms:W3CDTF">2024-11-28T06:05:00Z</dcterms:modified>
</cp:coreProperties>
</file>